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6B9137">
      <w:pPr>
        <w:jc w:val="center"/>
        <w:rPr>
          <w:rFonts w:hint="eastAsia" w:ascii="黑体" w:hAnsi="黑体" w:eastAsia="黑体" w:cs="黑体"/>
          <w:b/>
          <w:bCs/>
          <w:lang w:val="en-US" w:eastAsia="zh-CN"/>
        </w:rPr>
      </w:pPr>
      <w:r>
        <w:rPr>
          <w:rStyle w:val="8"/>
          <w:rFonts w:ascii="Yuanti SC" w:hAnsi="Yuanti SC" w:eastAsia="Yuanti SC" w:cs="宋体"/>
          <w:sz w:val="32"/>
          <w:szCs w:val="32"/>
        </w:rPr>
        <w:t>建筑：城市的记忆、人文融合的乐章</w:t>
      </w:r>
    </w:p>
    <w:p w14:paraId="080F12BA">
      <w:pPr>
        <w:ind w:firstLine="420" w:firstLineChars="200"/>
        <w:rPr>
          <w:rFonts w:hint="eastAsia"/>
          <w:lang w:val="en-US" w:eastAsia="zh-CN"/>
        </w:rPr>
      </w:pPr>
    </w:p>
    <w:p w14:paraId="14972FED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歌德曾言：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“</w:t>
      </w:r>
      <w:r>
        <w:rPr>
          <w:rFonts w:hint="eastAsia" w:ascii="宋体" w:hAnsi="宋体" w:eastAsia="宋体" w:cs="宋体"/>
          <w:sz w:val="24"/>
          <w:szCs w:val="24"/>
        </w:rPr>
        <w:t>建筑是凝固的音乐。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”</w:t>
      </w:r>
      <w:r>
        <w:rPr>
          <w:rFonts w:hint="eastAsia" w:ascii="宋体" w:hAnsi="宋体" w:eastAsia="宋体" w:cs="宋体"/>
          <w:sz w:val="24"/>
          <w:szCs w:val="24"/>
        </w:rPr>
        <w:t xml:space="preserve"> 这曲建筑与人文交织的乐章，既藏着古今文脉的赓续与中西文明的共鸣，更沉淀着炽热的人情温度。</w:t>
      </w:r>
    </w:p>
    <w:p w14:paraId="71E19069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在上海，江南风韵的古镇、西方格调的万国建筑、中西合璧的石库门、承载工业印记的老厂房与彰显时代活力的当代建筑，共同谱就了一曲灵动悠扬的建筑交响乐。这些建筑之所以隽永传世，不仅在于形制的精致或气势的恢弘，更</w:t>
      </w:r>
      <w:bookmarkStart w:id="1" w:name="_GoBack"/>
      <w:bookmarkEnd w:id="1"/>
      <w:r>
        <w:rPr>
          <w:rFonts w:hint="eastAsia" w:ascii="宋体" w:hAnsi="宋体" w:eastAsia="宋体" w:cs="宋体"/>
          <w:sz w:val="24"/>
          <w:szCs w:val="24"/>
        </w:rPr>
        <w:t>源于与之羁绊的人与事——这份深厚的人文底蕴，赋予其超越物理形态的温度与深度。</w:t>
      </w:r>
    </w:p>
    <w:p w14:paraId="43E64692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走近这些空间，心绪便会随肌理触感与故事回响漾起涟漪：红色建筑承载家国情怀，令人肃然起敬；名人故居镌刻岁月痕迹，引人心生仰慕；工人新村藏着市井烟火，传递朴素真切的生活气息；宏伟大厦彰显时代魄力，唤起惊叹之情；老厂房回荡着奋斗回响，游乐场盛满欢声笑语。建筑，早已成为城市记忆的容器、人文印记的载体，孕育着独特的城市情绪价值。</w:t>
      </w:r>
    </w:p>
    <w:p w14:paraId="4B348E66">
      <w:pPr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前期调研任务：</w:t>
      </w:r>
    </w:p>
    <w:p w14:paraId="06EA6B4A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选择上海具有代表性的建筑</w:t>
      </w:r>
      <w:bookmarkStart w:id="0" w:name="OLE_LINK1"/>
      <w:r>
        <w:rPr>
          <w:rFonts w:hint="eastAsia" w:ascii="宋体" w:hAnsi="宋体" w:eastAsia="宋体" w:cs="宋体"/>
          <w:sz w:val="24"/>
          <w:szCs w:val="24"/>
        </w:rPr>
        <w:t>或公共空间标志物</w:t>
      </w:r>
      <w:bookmarkEnd w:id="0"/>
      <w:r>
        <w:rPr>
          <w:rFonts w:hint="eastAsia" w:ascii="宋体" w:hAnsi="宋体" w:eastAsia="宋体" w:cs="宋体"/>
          <w:sz w:val="24"/>
          <w:szCs w:val="24"/>
        </w:rPr>
        <w:t>（如灯塔等），围绕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“</w:t>
      </w:r>
      <w:r>
        <w:rPr>
          <w:rFonts w:hint="eastAsia" w:ascii="宋体" w:hAnsi="宋体" w:eastAsia="宋体" w:cs="宋体"/>
          <w:sz w:val="24"/>
          <w:szCs w:val="24"/>
        </w:rPr>
        <w:t>建筑—人物—事件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”</w:t>
      </w:r>
      <w:r>
        <w:rPr>
          <w:rFonts w:hint="eastAsia" w:ascii="宋体" w:hAnsi="宋体" w:eastAsia="宋体" w:cs="宋体"/>
          <w:sz w:val="24"/>
          <w:szCs w:val="24"/>
        </w:rPr>
        <w:t>的叙事结构展开调研，探索数智技术与人工智能对建筑文化的传承与创新路径。</w:t>
      </w:r>
    </w:p>
    <w:p w14:paraId="2135A6EE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调研不少于3处类型各异的代表性空间，通过实地踏勘、影像记录与文献梳理，辨识其在历史演进、功能使用与日常生活中的文化意义与社会价值；关注建筑的形态、风格、功能与结构特征，同时梳理建筑的设计主体（如设计师、建造者等）以及深度关联的典型人物群体（如居住者、历史人物、艺术家、教育者等）及其生活实践与情感连接，并追踪发生于该建筑及其周边的关键事件与典型场景（历史节点、社会变迁、公共活动与日常生活），从而提炼建筑所承载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“</w:t>
      </w:r>
      <w:r>
        <w:rPr>
          <w:rFonts w:hint="eastAsia" w:ascii="宋体" w:hAnsi="宋体" w:eastAsia="宋体" w:cs="宋体"/>
          <w:sz w:val="24"/>
          <w:szCs w:val="24"/>
        </w:rPr>
        <w:t>记忆载体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”</w:t>
      </w:r>
      <w:r>
        <w:rPr>
          <w:rFonts w:hint="eastAsia" w:ascii="宋体" w:hAnsi="宋体" w:eastAsia="宋体" w:cs="宋体"/>
          <w:sz w:val="24"/>
          <w:szCs w:val="24"/>
        </w:rPr>
        <w:t>与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“</w:t>
      </w:r>
      <w:r>
        <w:rPr>
          <w:rFonts w:hint="eastAsia" w:ascii="宋体" w:hAnsi="宋体" w:eastAsia="宋体" w:cs="宋体"/>
          <w:sz w:val="24"/>
          <w:szCs w:val="24"/>
        </w:rPr>
        <w:t>情绪触发点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”</w:t>
      </w:r>
      <w:r>
        <w:rPr>
          <w:rFonts w:hint="eastAsia" w:ascii="宋体" w:hAnsi="宋体" w:eastAsia="宋体" w:cs="宋体"/>
          <w:sz w:val="24"/>
          <w:szCs w:val="24"/>
        </w:rPr>
        <w:t>；</w:t>
      </w:r>
    </w:p>
    <w:p w14:paraId="20AB8335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最终提出可落地的技术化表达方案，以数智化、互动体验等强化公众触达与传播体验效果。</w:t>
      </w:r>
    </w:p>
    <w:p w14:paraId="37F37E4C">
      <w:pPr>
        <w:pStyle w:val="4"/>
        <w:numPr>
          <w:ilvl w:val="0"/>
          <w:numId w:val="2"/>
        </w:num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调研报告内容需包括：</w:t>
      </w:r>
    </w:p>
    <w:p w14:paraId="37F37E4D">
      <w:pPr>
        <w:pStyle w:val="4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663" w:hanging="363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背景调研：附调研对象实景照片、视频资料，同步标注核心基础信息。</w:t>
      </w:r>
    </w:p>
    <w:p w14:paraId="3248B0B2">
      <w:pPr>
        <w:pStyle w:val="4"/>
        <w:numPr>
          <w:ilvl w:val="0"/>
          <w:numId w:val="3"/>
        </w:num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描述该建筑或公共空间标志物的人文特点：阐释其文化内涵、历史背景，挖掘关联人物故事，剖析其对当下公众的情感共鸣价值。</w:t>
      </w:r>
    </w:p>
    <w:p w14:paraId="1DF43930">
      <w:pPr>
        <w:pStyle w:val="4"/>
        <w:numPr>
          <w:ilvl w:val="0"/>
          <w:numId w:val="3"/>
        </w:num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数智技术应用方案：结合数智技术（3D技术、AR/VR、智能硬件等）与人工智能规划传承与创新路径。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初中学生需整合至少1项生成式AI技术与1项智能硬件模块（如声、光、电互动呈现）；高中学生需运用至少1项人工智能模块（生成式AI、图像识别、人脸识别、自然语言处理（NLP）、动作捕捉、AI算法、具身智能等）与1项智能硬件模块（如声、光、电互动呈现）。</w:t>
      </w:r>
    </w:p>
    <w:p w14:paraId="2EFEFA86">
      <w:pPr>
        <w:pStyle w:val="4"/>
        <w:numPr>
          <w:ilvl w:val="0"/>
          <w:numId w:val="3"/>
        </w:num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故事叙事设计：围绕核心调研对象，完成符合要求的叙事创作，助力文化内涵的生动传递。</w:t>
      </w:r>
    </w:p>
    <w:p w14:paraId="37F37E51">
      <w:pPr>
        <w:pStyle w:val="4"/>
        <w:numPr>
          <w:ilvl w:val="0"/>
          <w:numId w:val="2"/>
        </w:num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调研表：</w:t>
      </w:r>
    </w:p>
    <w:p w14:paraId="3B444024">
      <w:pPr>
        <w:pStyle w:val="4"/>
        <w:numPr>
          <w:ilvl w:val="0"/>
          <w:numId w:val="4"/>
        </w:num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简述 3 个代表性的建筑或公共空间标志物：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2268"/>
        <w:gridCol w:w="2552"/>
        <w:gridCol w:w="2347"/>
      </w:tblGrid>
      <w:tr w14:paraId="37F37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Align w:val="center"/>
          </w:tcPr>
          <w:p w14:paraId="37F37E53">
            <w:pPr>
              <w:pStyle w:val="4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序号</w:t>
            </w:r>
          </w:p>
        </w:tc>
        <w:tc>
          <w:tcPr>
            <w:tcW w:w="2268" w:type="dxa"/>
            <w:vAlign w:val="center"/>
          </w:tcPr>
          <w:p w14:paraId="197F1912">
            <w:pPr>
              <w:pStyle w:val="4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建筑或</w:t>
            </w:r>
            <w:r>
              <w:rPr>
                <w:rFonts w:ascii="宋体" w:hAnsi="宋体" w:eastAsia="宋体" w:cs="宋体"/>
                <w:b/>
                <w:bCs/>
                <w:szCs w:val="21"/>
              </w:rPr>
              <w:t>公共空间标志物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：</w:t>
            </w:r>
          </w:p>
          <w:p w14:paraId="37F37E54">
            <w:pPr>
              <w:pStyle w:val="4"/>
              <w:rPr>
                <w:rFonts w:ascii="宋体" w:hAnsi="宋体" w:eastAsia="宋体" w:cs="宋体"/>
                <w:szCs w:val="21"/>
              </w:rPr>
            </w:pPr>
            <w:r>
              <w:t>名称、地址</w:t>
            </w:r>
            <w:r>
              <w:rPr>
                <w:rFonts w:hint="eastAsia"/>
              </w:rPr>
              <w:t>区域</w:t>
            </w:r>
            <w:r>
              <w:t>、建成年代/改造时间、功</w:t>
            </w:r>
            <w:r>
              <w:rPr>
                <w:rFonts w:hint="eastAsia" w:ascii="宋体" w:hAnsi="宋体" w:eastAsia="宋体" w:cs="宋体"/>
              </w:rPr>
              <w:t>能演变、</w:t>
            </w:r>
            <w:r>
              <w:t>形态风格、尺度、结构与材料特征</w:t>
            </w:r>
          </w:p>
        </w:tc>
        <w:tc>
          <w:tcPr>
            <w:tcW w:w="2552" w:type="dxa"/>
            <w:vAlign w:val="center"/>
          </w:tcPr>
          <w:p w14:paraId="3BA361F3">
            <w:pPr>
              <w:pStyle w:val="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历史人文</w:t>
            </w:r>
            <w:r>
              <w:rPr>
                <w:rFonts w:ascii="宋体" w:hAnsi="宋体" w:eastAsia="宋体" w:cs="宋体"/>
                <w:b/>
                <w:bCs/>
                <w:szCs w:val="21"/>
              </w:rPr>
              <w:t>与叙事线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索：</w:t>
            </w:r>
          </w:p>
          <w:p w14:paraId="37F37E55">
            <w:pPr>
              <w:pStyle w:val="4"/>
              <w:rPr>
                <w:rFonts w:hint="eastAsia" w:ascii="宋体" w:hAnsi="宋体" w:eastAsia="宋体" w:cs="宋体"/>
              </w:rPr>
            </w:pPr>
            <w:r>
              <w:t>围绕设计师、居住者、历史名人等典型人物，挖掘其与空间相关的关键历史事件及典型场景，提炼具有代表性人文故事</w:t>
            </w:r>
          </w:p>
        </w:tc>
        <w:tc>
          <w:tcPr>
            <w:tcW w:w="2347" w:type="dxa"/>
            <w:vAlign w:val="center"/>
          </w:tcPr>
          <w:p w14:paraId="3E224AEC">
            <w:pPr>
              <w:pStyle w:val="4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Cs w:val="21"/>
              </w:rPr>
              <w:t>记忆载体提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炼的特点与价值发散：</w:t>
            </w:r>
          </w:p>
          <w:p w14:paraId="37F37E56">
            <w:pPr>
              <w:widowControl/>
              <w:jc w:val="left"/>
              <w:rPr>
                <w:rFonts w:hint="eastAsia"/>
                <w:kern w:val="0"/>
                <w:sz w:val="24"/>
                <w:lang w:val="zh-CN"/>
              </w:rPr>
            </w:pPr>
            <w:r>
              <w:t>提炼建筑历史人文中的城市记忆关键载体，阐明其象征意义与展示价值，发散数智技术对当下传播与体验目标</w:t>
            </w:r>
            <w:r>
              <w:rPr>
                <w:rFonts w:hint="eastAsia"/>
              </w:rPr>
              <w:t>的</w:t>
            </w:r>
            <w:r>
              <w:t>拓展路径与多元价</w:t>
            </w:r>
            <w:r>
              <w:rPr>
                <w:rFonts w:hint="eastAsia" w:ascii="宋体" w:hAnsi="宋体" w:eastAsia="宋体" w:cs="宋体"/>
              </w:rPr>
              <w:t>值</w:t>
            </w:r>
          </w:p>
        </w:tc>
      </w:tr>
      <w:tr w14:paraId="37F37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37F37E58">
            <w:pPr>
              <w:pStyle w:val="4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2268" w:type="dxa"/>
          </w:tcPr>
          <w:p w14:paraId="37F37E59">
            <w:pPr>
              <w:pStyle w:val="4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52" w:type="dxa"/>
          </w:tcPr>
          <w:p w14:paraId="37F37E5A">
            <w:pPr>
              <w:pStyle w:val="4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347" w:type="dxa"/>
          </w:tcPr>
          <w:p w14:paraId="37F37E5B">
            <w:pPr>
              <w:pStyle w:val="4"/>
              <w:rPr>
                <w:rFonts w:ascii="宋体" w:hAnsi="宋体" w:eastAsia="宋体" w:cs="宋体"/>
                <w:szCs w:val="21"/>
              </w:rPr>
            </w:pPr>
          </w:p>
        </w:tc>
      </w:tr>
      <w:tr w14:paraId="37F37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37F37E5D">
            <w:pPr>
              <w:pStyle w:val="4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</w:p>
        </w:tc>
        <w:tc>
          <w:tcPr>
            <w:tcW w:w="2268" w:type="dxa"/>
          </w:tcPr>
          <w:p w14:paraId="37F37E5E">
            <w:pPr>
              <w:pStyle w:val="4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52" w:type="dxa"/>
          </w:tcPr>
          <w:p w14:paraId="37F37E5F">
            <w:pPr>
              <w:pStyle w:val="4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347" w:type="dxa"/>
          </w:tcPr>
          <w:p w14:paraId="37F37E60">
            <w:pPr>
              <w:pStyle w:val="4"/>
              <w:rPr>
                <w:rFonts w:ascii="宋体" w:hAnsi="宋体" w:eastAsia="宋体" w:cs="宋体"/>
                <w:szCs w:val="21"/>
              </w:rPr>
            </w:pPr>
          </w:p>
        </w:tc>
      </w:tr>
      <w:tr w14:paraId="37F37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37F37E62">
            <w:pPr>
              <w:pStyle w:val="4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</w:t>
            </w:r>
          </w:p>
        </w:tc>
        <w:tc>
          <w:tcPr>
            <w:tcW w:w="2268" w:type="dxa"/>
          </w:tcPr>
          <w:p w14:paraId="37F37E63">
            <w:pPr>
              <w:pStyle w:val="4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52" w:type="dxa"/>
          </w:tcPr>
          <w:p w14:paraId="37F37E64">
            <w:pPr>
              <w:pStyle w:val="4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347" w:type="dxa"/>
          </w:tcPr>
          <w:p w14:paraId="37F37E65">
            <w:pPr>
              <w:pStyle w:val="4"/>
              <w:rPr>
                <w:rFonts w:ascii="宋体" w:hAnsi="宋体" w:eastAsia="宋体" w:cs="宋体"/>
                <w:szCs w:val="21"/>
              </w:rPr>
            </w:pPr>
          </w:p>
        </w:tc>
      </w:tr>
    </w:tbl>
    <w:p w14:paraId="37F37E71">
      <w:pPr>
        <w:pStyle w:val="4"/>
        <w:numPr>
          <w:ilvl w:val="0"/>
          <w:numId w:val="4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详述其中一个最具代表性和价值的</w:t>
      </w:r>
      <w:r>
        <w:rPr>
          <w:sz w:val="24"/>
        </w:rPr>
        <w:t>建筑</w:t>
      </w:r>
      <w:r>
        <w:rPr>
          <w:rFonts w:hint="eastAsia"/>
          <w:sz w:val="24"/>
        </w:rPr>
        <w:t>或</w:t>
      </w:r>
      <w:r>
        <w:rPr>
          <w:sz w:val="24"/>
        </w:rPr>
        <w:t>公共空间标志物</w:t>
      </w:r>
      <w:r>
        <w:rPr>
          <w:rFonts w:hint="eastAsia" w:ascii="宋体" w:hAnsi="宋体" w:eastAsia="宋体" w:cs="宋体"/>
          <w:sz w:val="24"/>
        </w:rPr>
        <w:t>，并做深度挖掘（请图文并茂，格式包含图片、手绘稿、原型模型及视频，可以以附件的形式提交）：</w:t>
      </w:r>
    </w:p>
    <w:tbl>
      <w:tblPr>
        <w:tblStyle w:val="6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6096"/>
      </w:tblGrid>
      <w:tr w14:paraId="37F37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263" w:type="dxa"/>
          </w:tcPr>
          <w:p w14:paraId="37F37E72">
            <w:pPr>
              <w:pStyle w:val="4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名称</w:t>
            </w:r>
          </w:p>
        </w:tc>
        <w:tc>
          <w:tcPr>
            <w:tcW w:w="6096" w:type="dxa"/>
          </w:tcPr>
          <w:p w14:paraId="37F37E73">
            <w:pPr>
              <w:pStyle w:val="4"/>
              <w:rPr>
                <w:rFonts w:ascii="Yuanti SC" w:hAnsi="Yuanti SC" w:eastAsia="Yuanti SC" w:cs="宋体"/>
              </w:rPr>
            </w:pPr>
          </w:p>
        </w:tc>
      </w:tr>
      <w:tr w14:paraId="37F37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2263" w:type="dxa"/>
            <w:vAlign w:val="center"/>
          </w:tcPr>
          <w:p w14:paraId="37F37E75">
            <w:pPr>
              <w:pStyle w:val="4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背景与现状分析：</w:t>
            </w:r>
          </w:p>
          <w:p w14:paraId="2B68B079">
            <w:pPr>
              <w:pStyle w:val="4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t>简述建筑的建成年代、建设背景与初衷，挖掘设计师理念、关联人物故事及承载的时代精神，阐明其城市文化定位、历史意义与当下影响，说明当前保存状态、使用功能、公众关注度及传承保护面临的挑战</w:t>
            </w:r>
            <w:r>
              <w:rPr>
                <w:rFonts w:hint="eastAsia" w:ascii="宋体" w:hAnsi="宋体" w:eastAsia="宋体" w:cs="宋体"/>
              </w:rPr>
              <w:t>。</w:t>
            </w:r>
          </w:p>
          <w:p w14:paraId="37F37E76">
            <w:pPr>
              <w:pStyle w:val="4"/>
              <w:jc w:val="left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6096" w:type="dxa"/>
          </w:tcPr>
          <w:p w14:paraId="37F37E77">
            <w:pPr>
              <w:pStyle w:val="4"/>
              <w:rPr>
                <w:rFonts w:ascii="Yuanti SC" w:hAnsi="Yuanti SC" w:eastAsia="Yuanti SC" w:cs="宋体"/>
              </w:rPr>
            </w:pPr>
          </w:p>
          <w:p w14:paraId="23246606">
            <w:pPr>
              <w:pStyle w:val="4"/>
              <w:rPr>
                <w:rFonts w:ascii="Yuanti SC" w:hAnsi="Yuanti SC" w:eastAsia="Yuanti SC" w:cs="宋体"/>
              </w:rPr>
            </w:pPr>
          </w:p>
          <w:p w14:paraId="37F37E7A">
            <w:pPr>
              <w:pStyle w:val="4"/>
              <w:rPr>
                <w:rFonts w:ascii="Yuanti SC" w:hAnsi="Yuanti SC" w:eastAsia="Yuanti SC" w:cs="宋体"/>
              </w:rPr>
            </w:pPr>
          </w:p>
        </w:tc>
      </w:tr>
      <w:tr w14:paraId="37F37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8" w:hRule="atLeast"/>
        </w:trPr>
        <w:tc>
          <w:tcPr>
            <w:tcW w:w="2263" w:type="dxa"/>
            <w:vAlign w:val="center"/>
          </w:tcPr>
          <w:p w14:paraId="37F37E7C">
            <w:pPr>
              <w:pStyle w:val="4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调研方法与内容：</w:t>
            </w:r>
          </w:p>
          <w:p w14:paraId="37F37E7D">
            <w:pPr>
              <w:widowControl/>
              <w:jc w:val="left"/>
              <w:rPr>
                <w:rFonts w:hint="eastAsia"/>
                <w:kern w:val="0"/>
                <w:sz w:val="24"/>
                <w:lang w:val="zh-CN"/>
              </w:rPr>
            </w:pPr>
            <w:r>
              <w:t>详细阐述实地踏勘、文献查阅、访谈的具体过程与核心结论，体现概括能力、创新思维与批判性思考</w:t>
            </w:r>
            <w:r>
              <w:rPr>
                <w:rFonts w:hint="eastAsia" w:ascii="宋体" w:hAnsi="宋体" w:eastAsia="宋体" w:cs="宋体"/>
              </w:rPr>
              <w:t>。</w:t>
            </w:r>
          </w:p>
        </w:tc>
        <w:tc>
          <w:tcPr>
            <w:tcW w:w="6096" w:type="dxa"/>
          </w:tcPr>
          <w:p w14:paraId="37F37E82">
            <w:pPr>
              <w:pStyle w:val="4"/>
              <w:rPr>
                <w:rFonts w:ascii="Yuanti SC" w:hAnsi="Yuanti SC" w:eastAsia="Yuanti SC" w:cs="Arial"/>
              </w:rPr>
            </w:pPr>
          </w:p>
          <w:p w14:paraId="37F37E83">
            <w:pPr>
              <w:pStyle w:val="4"/>
              <w:rPr>
                <w:rFonts w:ascii="Yuanti SC" w:hAnsi="Yuanti SC" w:eastAsia="Yuanti SC" w:cs="Arial"/>
              </w:rPr>
            </w:pPr>
          </w:p>
          <w:p w14:paraId="37F37E84">
            <w:pPr>
              <w:pStyle w:val="4"/>
              <w:rPr>
                <w:rFonts w:ascii="Yuanti SC" w:hAnsi="Yuanti SC" w:eastAsia="Yuanti SC" w:cs="Arial"/>
              </w:rPr>
            </w:pPr>
          </w:p>
          <w:p w14:paraId="37F37E85">
            <w:pPr>
              <w:pStyle w:val="4"/>
              <w:rPr>
                <w:rFonts w:ascii="Yuanti SC" w:hAnsi="Yuanti SC" w:eastAsia="Yuanti SC" w:cs="Arial"/>
              </w:rPr>
            </w:pPr>
          </w:p>
          <w:p w14:paraId="37F37E87">
            <w:pPr>
              <w:pStyle w:val="4"/>
              <w:rPr>
                <w:rFonts w:ascii="Yuanti SC" w:hAnsi="Yuanti SC" w:eastAsia="Yuanti SC" w:cs="Arial"/>
              </w:rPr>
            </w:pPr>
          </w:p>
        </w:tc>
      </w:tr>
      <w:tr w14:paraId="37F37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7" w:hRule="atLeast"/>
        </w:trPr>
        <w:tc>
          <w:tcPr>
            <w:tcW w:w="2263" w:type="dxa"/>
          </w:tcPr>
          <w:p w14:paraId="37F37E89">
            <w:pPr>
              <w:pStyle w:val="4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数智技术应用思考：</w:t>
            </w:r>
          </w:p>
          <w:p w14:paraId="37F37E8A">
            <w:pPr>
              <w:pStyle w:val="4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技术选择：</w:t>
            </w:r>
            <w:r>
              <w:rPr>
                <w:rFonts w:hint="eastAsia" w:ascii="宋体" w:hAnsi="宋体" w:eastAsia="宋体" w:cs="宋体"/>
                <w:szCs w:val="21"/>
              </w:rPr>
              <w:t> 提出可以应用的人工智能和数智技术（如AR/VR、3D建模、3D打印、电子电路等）。</w:t>
            </w:r>
          </w:p>
          <w:p w14:paraId="37F37E8B">
            <w:pPr>
              <w:widowControl/>
              <w:jc w:val="left"/>
              <w:rPr>
                <w:rFonts w:hint="eastAsia"/>
                <w:kern w:val="0"/>
                <w:sz w:val="24"/>
                <w:lang w:val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创新点：</w:t>
            </w:r>
            <w:r>
              <w:rPr>
                <w:rFonts w:hint="eastAsia" w:ascii="宋体" w:hAnsi="宋体" w:eastAsia="宋体" w:cs="宋体"/>
                <w:szCs w:val="21"/>
              </w:rPr>
              <w:t> </w:t>
            </w:r>
            <w:r>
              <w:t>说明如何通过所选技术，对建筑及人文历史元素进行精准赋能，实现文化的创新性传承</w:t>
            </w:r>
            <w:r>
              <w:rPr>
                <w:rFonts w:hint="eastAsia" w:ascii="宋体" w:hAnsi="宋体" w:eastAsia="宋体" w:cs="宋体"/>
              </w:rPr>
              <w:t>。</w:t>
            </w:r>
          </w:p>
          <w:p w14:paraId="37F37E8C">
            <w:pPr>
              <w:pStyle w:val="4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应用场景：</w:t>
            </w:r>
            <w:r>
              <w:rPr>
                <w:rFonts w:hint="eastAsia" w:ascii="宋体" w:hAnsi="宋体" w:eastAsia="宋体" w:cs="宋体"/>
                <w:szCs w:val="21"/>
              </w:rPr>
              <w:t> 描述技术应用的具体场景（如展示、互动体验等）。</w:t>
            </w:r>
          </w:p>
        </w:tc>
        <w:tc>
          <w:tcPr>
            <w:tcW w:w="6096" w:type="dxa"/>
          </w:tcPr>
          <w:p w14:paraId="36B5D5F8">
            <w:pPr>
              <w:pStyle w:val="4"/>
              <w:rPr>
                <w:rFonts w:ascii="Yuanti SC" w:hAnsi="Yuanti SC" w:eastAsia="Yuanti SC" w:cs="宋体"/>
              </w:rPr>
            </w:pPr>
          </w:p>
          <w:p w14:paraId="07AD6CAC">
            <w:pPr>
              <w:pStyle w:val="4"/>
              <w:rPr>
                <w:rFonts w:ascii="Yuanti SC" w:hAnsi="Yuanti SC" w:eastAsia="Yuanti SC" w:cs="宋体"/>
              </w:rPr>
            </w:pPr>
          </w:p>
          <w:p w14:paraId="24693995">
            <w:pPr>
              <w:pStyle w:val="4"/>
              <w:rPr>
                <w:rFonts w:ascii="Yuanti SC" w:hAnsi="Yuanti SC" w:eastAsia="Yuanti SC" w:cs="宋体"/>
              </w:rPr>
            </w:pPr>
          </w:p>
          <w:p w14:paraId="7B09C4E5">
            <w:pPr>
              <w:pStyle w:val="4"/>
              <w:rPr>
                <w:rFonts w:ascii="Yuanti SC" w:hAnsi="Yuanti SC" w:eastAsia="Yuanti SC" w:cs="宋体"/>
              </w:rPr>
            </w:pPr>
          </w:p>
          <w:p w14:paraId="37F37E8D">
            <w:pPr>
              <w:pStyle w:val="4"/>
              <w:rPr>
                <w:rFonts w:ascii="Yuanti SC" w:hAnsi="Yuanti SC" w:eastAsia="Yuanti SC" w:cs="宋体"/>
              </w:rPr>
            </w:pPr>
          </w:p>
        </w:tc>
      </w:tr>
      <w:tr w14:paraId="37F37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vAlign w:val="center"/>
          </w:tcPr>
          <w:p w14:paraId="60B0B12A">
            <w:pPr>
              <w:pStyle w:val="4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故事叙事：</w:t>
            </w:r>
          </w:p>
          <w:p w14:paraId="37F37E8F">
            <w:pPr>
              <w:widowControl/>
              <w:jc w:val="left"/>
              <w:rPr>
                <w:rFonts w:hint="eastAsia"/>
                <w:kern w:val="0"/>
                <w:sz w:val="24"/>
                <w:lang w:val="zh-CN"/>
              </w:rPr>
            </w:pPr>
            <w:r>
              <w:t xml:space="preserve">紧扣建筑历史人文与融合内涵，聚焦城市记忆与文化传承；以 </w:t>
            </w:r>
            <w:r>
              <w:rPr>
                <w:rFonts w:hint="eastAsia"/>
                <w:lang w:eastAsia="zh-CN"/>
              </w:rPr>
              <w:t>“</w:t>
            </w:r>
            <w:r>
              <w:t>建筑 — 人物 — 事件</w:t>
            </w:r>
            <w:r>
              <w:rPr>
                <w:rFonts w:hint="eastAsia"/>
                <w:lang w:eastAsia="zh-CN"/>
              </w:rPr>
              <w:t>”</w:t>
            </w:r>
            <w:r>
              <w:t xml:space="preserve"> 为线，采用新颖视角，融入数智技术赋能沉浸体验，升华情感内核与文化传承价值</w:t>
            </w:r>
            <w:r>
              <w:rPr>
                <w:rFonts w:hint="eastAsia" w:ascii="宋体" w:hAnsi="宋体" w:eastAsia="宋体" w:cs="宋体"/>
              </w:rPr>
              <w:t>。</w:t>
            </w:r>
          </w:p>
        </w:tc>
        <w:tc>
          <w:tcPr>
            <w:tcW w:w="6096" w:type="dxa"/>
          </w:tcPr>
          <w:p w14:paraId="37F37E90">
            <w:pPr>
              <w:pStyle w:val="4"/>
              <w:rPr>
                <w:rFonts w:ascii="Yuanti SC" w:hAnsi="Yuanti SC" w:eastAsia="Yuanti SC" w:cs="宋体"/>
              </w:rPr>
            </w:pPr>
          </w:p>
          <w:p w14:paraId="37F37E95">
            <w:pPr>
              <w:pStyle w:val="4"/>
              <w:rPr>
                <w:rFonts w:ascii="Yuanti SC" w:hAnsi="Yuanti SC" w:eastAsia="Yuanti SC" w:cs="宋体"/>
              </w:rPr>
            </w:pPr>
          </w:p>
          <w:p w14:paraId="37F37E96">
            <w:pPr>
              <w:pStyle w:val="4"/>
              <w:rPr>
                <w:rFonts w:ascii="Yuanti SC" w:hAnsi="Yuanti SC" w:eastAsia="Yuanti SC" w:cs="宋体"/>
              </w:rPr>
            </w:pPr>
          </w:p>
          <w:p w14:paraId="7E710415">
            <w:pPr>
              <w:pStyle w:val="4"/>
              <w:rPr>
                <w:rFonts w:ascii="Yuanti SC" w:hAnsi="Yuanti SC" w:eastAsia="Yuanti SC" w:cs="宋体"/>
              </w:rPr>
            </w:pPr>
          </w:p>
          <w:p w14:paraId="37F37E97">
            <w:pPr>
              <w:pStyle w:val="4"/>
              <w:rPr>
                <w:rFonts w:ascii="Yuanti SC" w:hAnsi="Yuanti SC" w:eastAsia="Yuanti SC" w:cs="宋体"/>
              </w:rPr>
            </w:pPr>
          </w:p>
        </w:tc>
      </w:tr>
    </w:tbl>
    <w:p w14:paraId="76A42E22">
      <w:pPr>
        <w:spacing w:line="360" w:lineRule="auto"/>
        <w:ind w:firstLine="480" w:firstLineChars="200"/>
        <w:rPr>
          <w:rFonts w:hint="eastAsia"/>
          <w:sz w:val="24"/>
          <w:lang w:val="en-US" w:eastAsia="zh-CN"/>
        </w:rPr>
      </w:pPr>
    </w:p>
    <w:sectPr>
      <w:headerReference r:id="rId3" w:type="default"/>
      <w:pgSz w:w="11906" w:h="16838"/>
      <w:pgMar w:top="1440" w:right="1800" w:bottom="6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Yuanti SC">
    <w:altName w:val="宋体"/>
    <w:panose1 w:val="02010600040101010101"/>
    <w:charset w:val="86"/>
    <w:family w:val="auto"/>
    <w:pitch w:val="default"/>
    <w:sig w:usb0="00000000" w:usb1="0000000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55390">
    <w:pPr>
      <w:pStyle w:val="3"/>
      <w:rPr>
        <w:rFonts w:hint="default"/>
        <w:lang w:val="en-US"/>
      </w:rPr>
    </w:pPr>
    <w:r>
      <w:rPr>
        <w:rFonts w:hint="eastAsia" w:ascii="等线 Light" w:hAnsi="等线 Light" w:eastAsia="等线 Light" w:cs="等线 Light"/>
        <w:b/>
        <w:bCs/>
        <w:sz w:val="24"/>
        <w:lang w:val="en-US" w:eastAsia="zh-CN"/>
      </w:rPr>
      <w:t>附件3：第十二届上海创客新星大赛</w:t>
    </w:r>
    <w:r>
      <w:rPr>
        <w:rFonts w:hint="eastAsia" w:ascii="等线 Light" w:hAnsi="等线 Light" w:eastAsia="等线 Light" w:cs="等线 Light"/>
        <w:b/>
        <w:bCs/>
        <w:sz w:val="24"/>
      </w:rPr>
      <w:t>-</w:t>
    </w:r>
    <w:r>
      <w:rPr>
        <w:rFonts w:hint="eastAsia" w:ascii="等线 Light" w:hAnsi="等线 Light" w:eastAsia="等线 Light" w:cs="等线 Light"/>
        <w:b/>
        <w:bCs/>
        <w:sz w:val="24"/>
        <w:lang w:val="en-US" w:eastAsia="zh-CN"/>
      </w:rPr>
      <w:t>-创客马拉松-前期调研主题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2288894"/>
    <w:multiLevelType w:val="singleLevel"/>
    <w:tmpl w:val="E228889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49AAAC0"/>
    <w:multiLevelType w:val="singleLevel"/>
    <w:tmpl w:val="149AAAC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679E78BC"/>
    <w:multiLevelType w:val="multilevel"/>
    <w:tmpl w:val="679E78BC"/>
    <w:lvl w:ilvl="0" w:tentative="0">
      <w:start w:val="1"/>
      <w:numFmt w:val="decimal"/>
      <w:lvlText w:val="%1."/>
      <w:lvlJc w:val="left"/>
      <w:pPr>
        <w:tabs>
          <w:tab w:val="left" w:pos="-420"/>
        </w:tabs>
        <w:ind w:left="660" w:hanging="360"/>
      </w:pPr>
      <w:rPr>
        <w:rFonts w:hint="default"/>
        <w:b w:val="0"/>
        <w:bCs w:val="0"/>
      </w:rPr>
    </w:lvl>
    <w:lvl w:ilvl="1" w:tentative="0">
      <w:start w:val="1"/>
      <w:numFmt w:val="lowerLetter"/>
      <w:lvlText w:val="%2."/>
      <w:lvlJc w:val="left"/>
      <w:pPr>
        <w:tabs>
          <w:tab w:val="left" w:pos="-420"/>
        </w:tabs>
        <w:ind w:left="13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-420"/>
        </w:tabs>
        <w:ind w:left="2100" w:hanging="180"/>
      </w:pPr>
    </w:lvl>
    <w:lvl w:ilvl="3" w:tentative="0">
      <w:start w:val="1"/>
      <w:numFmt w:val="decimal"/>
      <w:lvlText w:val="%4."/>
      <w:lvlJc w:val="left"/>
      <w:pPr>
        <w:tabs>
          <w:tab w:val="left" w:pos="-420"/>
        </w:tabs>
        <w:ind w:left="28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-420"/>
        </w:tabs>
        <w:ind w:left="35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-420"/>
        </w:tabs>
        <w:ind w:left="4260" w:hanging="180"/>
      </w:pPr>
    </w:lvl>
    <w:lvl w:ilvl="6" w:tentative="0">
      <w:start w:val="1"/>
      <w:numFmt w:val="decimal"/>
      <w:lvlText w:val="%7."/>
      <w:lvlJc w:val="left"/>
      <w:pPr>
        <w:tabs>
          <w:tab w:val="left" w:pos="-420"/>
        </w:tabs>
        <w:ind w:left="49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-420"/>
        </w:tabs>
        <w:ind w:left="57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-420"/>
        </w:tabs>
        <w:ind w:left="6420" w:hanging="180"/>
      </w:pPr>
    </w:lvl>
  </w:abstractNum>
  <w:abstractNum w:abstractNumId="3">
    <w:nsid w:val="79685324"/>
    <w:multiLevelType w:val="multilevel"/>
    <w:tmpl w:val="79685324"/>
    <w:lvl w:ilvl="0" w:tentative="0">
      <w:start w:val="1"/>
      <w:numFmt w:val="decimal"/>
      <w:lvlText w:val="%1."/>
      <w:lvlJc w:val="left"/>
      <w:pPr>
        <w:tabs>
          <w:tab w:val="left" w:pos="-420"/>
        </w:tabs>
        <w:ind w:left="660" w:hanging="360"/>
      </w:pPr>
      <w:rPr>
        <w:rFonts w:hint="default"/>
        <w:b w:val="0"/>
        <w:bCs w:val="0"/>
      </w:rPr>
    </w:lvl>
    <w:lvl w:ilvl="1" w:tentative="0">
      <w:start w:val="1"/>
      <w:numFmt w:val="lowerLetter"/>
      <w:lvlText w:val="%2."/>
      <w:lvlJc w:val="left"/>
      <w:pPr>
        <w:tabs>
          <w:tab w:val="left" w:pos="-420"/>
        </w:tabs>
        <w:ind w:left="13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-420"/>
        </w:tabs>
        <w:ind w:left="2100" w:hanging="180"/>
      </w:pPr>
    </w:lvl>
    <w:lvl w:ilvl="3" w:tentative="0">
      <w:start w:val="1"/>
      <w:numFmt w:val="decimal"/>
      <w:lvlText w:val="%4."/>
      <w:lvlJc w:val="left"/>
      <w:pPr>
        <w:tabs>
          <w:tab w:val="left" w:pos="-420"/>
        </w:tabs>
        <w:ind w:left="28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-420"/>
        </w:tabs>
        <w:ind w:left="35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-420"/>
        </w:tabs>
        <w:ind w:left="4260" w:hanging="180"/>
      </w:pPr>
    </w:lvl>
    <w:lvl w:ilvl="6" w:tentative="0">
      <w:start w:val="1"/>
      <w:numFmt w:val="decimal"/>
      <w:lvlText w:val="%7."/>
      <w:lvlJc w:val="left"/>
      <w:pPr>
        <w:tabs>
          <w:tab w:val="left" w:pos="-420"/>
        </w:tabs>
        <w:ind w:left="49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-420"/>
        </w:tabs>
        <w:ind w:left="57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-420"/>
        </w:tabs>
        <w:ind w:left="64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0MWNjNTkwM2RhMzA2M2VlY2RmMGM3YmZiMGYxMzIifQ=="/>
  </w:docVars>
  <w:rsids>
    <w:rsidRoot w:val="61150CF5"/>
    <w:rsid w:val="0C677797"/>
    <w:rsid w:val="17796635"/>
    <w:rsid w:val="1F5A6485"/>
    <w:rsid w:val="228F523C"/>
    <w:rsid w:val="32D83E39"/>
    <w:rsid w:val="357935A9"/>
    <w:rsid w:val="36F079A3"/>
    <w:rsid w:val="38D41D5B"/>
    <w:rsid w:val="3C90308E"/>
    <w:rsid w:val="3CE84C78"/>
    <w:rsid w:val="4AE01FB2"/>
    <w:rsid w:val="59BF4D6E"/>
    <w:rsid w:val="5B716519"/>
    <w:rsid w:val="61150CF5"/>
    <w:rsid w:val="613F7BEC"/>
    <w:rsid w:val="758F6A7F"/>
    <w:rsid w:val="77731684"/>
    <w:rsid w:val="798E3F02"/>
    <w:rsid w:val="7F3B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591</Words>
  <Characters>601</Characters>
  <Lines>0</Lines>
  <Paragraphs>0</Paragraphs>
  <TotalTime>5</TotalTime>
  <ScaleCrop>false</ScaleCrop>
  <LinksUpToDate>false</LinksUpToDate>
  <CharactersWithSpaces>601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2024-02-21T04:20:00Z</dcterms:created>
  <dc:creator>zw_ge</dc:creator>
  <cp:lastModifiedBy>janet_w_121</cp:lastModifiedBy>
  <cp:lastPrinted>2024-02-22T02:08:00Z</cp:lastPrinted>
  <dcterms:modified xsi:type="dcterms:W3CDTF">2026-01-22T02:01:25Z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B03A2570F191483AA8D5273466D88DB8_13</vt:lpwstr>
  </property>
  <property fmtid="{D5CDD505-2E9C-101B-9397-08002B2CF9AE}" pid="4" name="KSOTemplateDocerSaveRecord">
    <vt:lpwstr>eyJoZGlkIjoiNWM0MWNjNTkwM2RhMzA2M2VlY2RmMGM3YmZiMGYxMzIiLCJ1c2VySWQiOiI0Mjk1MjM0NDIifQ==</vt:lpwstr>
  </property>
</Properties>
</file>